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389. “草坪经济，周末遛弯”——城市公园草坪经济（野餐、露营、宠物）消费行为研究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研究对象：常在城市公园草坪休闲（野餐垫/帐篷/飞盘）的市民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核心问题/变量：周末消费（餐饮外卖/装备/亲子活动）、公园配套满意度、草坪预约/文明公约、消费频次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H1：周末消费（餐饮外卖/装备/亲子活动）、公园配套满意度显著影响消费频次（待验证）；H2：不同人群（年龄/收入/城市等级）在上述关系中存在调节作用（待验证）。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🔶"草坪经济/公园20分钟效应"（媒体热议需引原文）；✅户外露营市场（第三批119题衔接）；✅口袋公园/城市绿地建设（住建部政策）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城市公园现场问卷；现象观察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🔶"草坪经济/公园20分钟效应"（媒体热议需引原文）；✅户外露营市场（第三批119题衔接）；✅口袋公园/城市绿地建设（住建部政策）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