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391. “越夜越精彩，城市夜消费”——城市夜间消费行为与时段分布研究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研究对象：有夜间外出消费习惯（购物/娱乐/餐饮）的城市居民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核心问题/变量：夜间消费时段、场景偏好、频次与花费、深夜消费动因、安全感知、与日间消费对比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H1：夜间消费时段、场景偏好显著影响与日间消费对比（待验证）；H2：不同人群（年龄/收入/城市等级）在上述关系中存在调节作用（待验证）。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中国夜间经济规模预计45万亿—50万亿元、年复合增速8%—10%；✅2026年5月夜间时段日均活跃用户9.37亿（+4.6%）、深夜时段（0—2点）4.4亿（+16.9%）；✅30岁以下占33%、新一线/二线/三线合计超六成（行业🔶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商圈/夜市现场问卷+线上；评委关注新消费场景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中国夜间经济规模预计45万亿—50万亿元、年复合增速8%—10%；✅2026年5月夜间时段日均活跃用户9.37亿（+4.6%）、深夜时段（0—2点）4.4亿（+16.9%）；✅30岁以下占33%、新一线/二线/三线合计超六成（行业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