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395. “夜游一座城，光影打卡”——夜游、灯光秀、沉浸式夜景消费行为研究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研究对象：体验过夜游（夜景游船/灯光秀/古镇夜游）的游客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核心问题/变量：夜游动机（出片/避暑/氛围）、项目类型（灯光秀/游船/夜市）、门票价格接受、带动消费（餐饮住宿）、满意度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H1：夜游动机（出片/避暑/氛围）、项目类型（灯光秀/游船/夜市）显著影响满意度（待验证）；H2：不同人群（年龄/收入/城市等级）在上述关系中存在调节作用（待验证）。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夜游产品预订热度同比+52%、跨城夜游非本地订单占56%、18-35岁占58%（同程暑期夜游报告）；✅北京亮马河国际风情夜市单日客流破8.2万人次；✅2026夜游政策重点扶持沉浸式体验/水上夜游/夜间文旅消费集聚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夜游项目现场+OTA渠道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夜游产品预订热度同比+52%、跨城夜游非本地订单占56%、18-35岁占58%（同程暑期夜游报告）；✅北京亮马河国际风情夜市单日客流破8.2万人次；✅2026夜游政策重点扶持沉浸式体验/水上夜游/夜间文旅消费集聚区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