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415. “夜宿博物馆，亲子奇遇”——博物馆夜宿、亲子夜间营体验研究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研究对象：参加过博物馆夜场（奇妙夜/夜间讲解）的观众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核心问题/变量：参与动机、活动形式偏好（音乐会/剧本杀/夜游）、门票与文创消费、亲子参与、满意度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、活动形式偏好（音乐会/剧本杀/夜游）（满意度）之间存在可检验的关系，且受群体差异（年龄/收入/地区/身份）调节（待验证）；H2：参与动机、活动形式偏好（音乐会/剧本杀/夜游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🔶博物馆夜场（"博物馆奇妙夜"现象媒体需引原文）；✅夜经济政策扶持沉浸式体验（本批证据）；✅文博游热潮（已核验）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博物馆渠道（夜场活动招募）；与289题（云看展）区分：聚焦线下夜场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🔶博物馆夜场（"博物馆奇妙夜"现象媒体需引原文）；✅夜经济政策扶持沉浸式体验（本批证据）；✅文博游热潮（已核验）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