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434. “泡温泉，养生度假”——温泉康养度假消费行为研究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研究对象：考虑或体验过乡村康养旅居（月租/长住）的城市中老年及子女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核心问题/变量：旅居动机（避暑/慢生活/疗养）、模式选择（月租民宿/康养基地）、费用接受、医疗配套顾虑、复住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H1：旅居动机（避暑/慢生活/疗养）、模式选择（月租民宿/康养基地）显著影响复住（待验证）；H2：不同人群（年龄/收入/城市等级）在上述关系中存在调节作用（待验证）。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🔶康养旅居（2万亿康养市场，第七轮已核验）；✅乡村民宿提质升级政策（文旅部背景）；✅银发旅游增长（已核验）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康养基地/民宿协会渠道；与286题（农村互助养老）区分：聚焦城市客源消费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🔶康养旅居（2万亿康养市场，第七轮已核验）；✅乡村民宿提质升级政策（文旅部背景）；✅银发旅游增长（已核验）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