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437. “主题乐园，快乐经济”——主题乐园、亲子乐园消费行为研究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建议地区：北京（可按省/市细化抽样框）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研究对象：去过主题乐园（迪士尼/欢乐谷/本地乐园）的消费者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核心问题/变量：客源结构（亲子/情侣）、门票与二次消费（餐饮/周边）、排队体验、年卡消费、满意度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H1：客源结构（亲子/情侣）、门票与二次消费（餐饮/周边）显著影响满意度（待验证）；H2：不同人群（年龄/收入/城市等级）在上述关系中存在调节作用（待验证）。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🔶主题乐园市场（AECOM/TEA报告需下载）；✅上海迪士尼/北京环球客流（媒体数据🔶）；✅文娱消费304亿（第三批已核验）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乐园现场+OTA渠道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🔶主题乐园市场（AECOM/TEA报告需下载）；✅上海迪士尼/北京环球客流（媒体数据🔶）；✅文娱消费304亿（第三批已核验）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