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438. “景区咖啡馆，慢旅行体验”——景区、博物馆文创餐饮（景区咖啡馆、文创雪糕）消费研究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研究对象：在景区/博物馆买过文创餐饮（雪糕/咖啡/茶饮）的游客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核心问题/变量：购买动机（打卡/解渴/纪念）、文创设计吸引力、价格接受（溢价）、拍照传播、复购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H1：购买动机（打卡/解渴/纪念）、文创设计吸引力显著影响复购（待验证）；H2：不同人群（年龄/收入/城市等级）在上述关系中存在调节作用（待验证）。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🔶文创雪糕/景区咖啡（媒体现象报道需引原文）；✅文博文创热（227-231题衔接）；✅旅行消费升级（文旅部数据🔶）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景区现场+社交平台内容分析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🔶文创雪糕/景区咖啡（媒体现象报道需引原文）；✅文博文创热（227-231题衔接）；✅旅行消费升级（文旅部数据🔶）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