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440. “上天入海，低空文旅体验”——低空、新场景文旅消费（直升机观光、热气球、滑翔伞）研究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研究对象：体验过低空文旅项目（直升机/热气球/滑翔伞）的游客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核心问题/变量：体验动机（刺激/出片）、价格接受（单次几百-千元）、安全保障感知、低空经济政策知晓、复购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H1：体验动机（刺激/出片）、价格接受（单次几百-千元）显著影响复购（待验证）；H2：不同人群（年龄/收入/城市等级）在上述关系中存在调节作用（待验证）。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✅低空经济规模超5000亿（第一批已核验）；✅低空文旅列入政策支持方向（2026夜游政策，第十四轮证据）；🔶低空飞行体验项目（媒体）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低空文旅运营商/景区渠道；与06-09题（低空经济）区分：聚焦消费端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✅低空经济规模超5000亿（第一批已核验）；✅低空文旅列入政策支持方向（2026夜游政策，第十四轮证据）；🔶低空飞行体验项目（媒体）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