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472. “演出强实名，黄牛往哪跑”——演出票务实名制、强实名购票体验研究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建议地区：杭州（可按省/市细化抽样框）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研究对象：参加过大型演唱会/音乐节的观众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核心问题/变量：追星出行（跨城机票酒店）、票价与黄牛、现场消费（应援/周边）、城市经济带动感知、抢票体验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H1：追星出行（跨城机票酒店）、票价与黄牛显著影响抢票体验（待验证）；H2：不同人群（年龄/收入/城市等级）在上述关系中存在调节作用（待验证）。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🔶演唱会经济（"为一场演出赴一座城"媒体热词需引原文）；✅杭州演唱会狂飙450%（第五六轮证据）；✅演出市场304亿（第三批已核验）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演出场馆现场+粉丝社群；与76/347题（演出/音乐节）区分：聚焦跨城经济带动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🔶演唱会经济（"为一场演出赴一座城"媒体热词需引原文）；✅杭州演唱会狂飙450%（第五六轮证据）；✅演出市场304亿（第三批已核验）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