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473. “剧本杀新变局，实景演绎”——实景娱乐（剧本杀、密室逃脱、NPC剧场）消费研究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研究对象：玩过剧本杀/密室逃脱/沉浸式剧场的 18—35 岁玩家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核心问题/变量：游玩频次、单场价格（本/人）、剧本类型偏好、组队方式（拼场/熟人）、AI/NPC体验、复购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H1：游玩频次、单场价格（本/人）显著影响复购（待验证）；H2：不同人群（年龄/收入/城市等级）在上述关系中存在调节作用（待验证）。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🔶剧本杀市场规模（艾媒《2022-2023剧本杀行业报告》需下载）；✅沉浸式文旅政策（文旅部沉浸式空间培育行动）；✅文娱消费304亿（已核验）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实景娱乐门店现场+玩家社群；与37题（剧本杀体验）区分：聚焦实景升级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🔶剧本杀市场规模（艾媒《2022-2023剧本杀行业报告》需下载）；✅沉浸式文旅政策（文旅部沉浸式空间培育行动）；✅文娱消费304亿（已核验）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