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497. “春日赏花，经济花开”——春日经济、赏花经济消费行为研究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研究对象：参与过赏花游（樱花/油菜花/梅花）的游客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核心问题/变量：赏花目的地（公园/乡村）、花期消费（门票/餐饮/文创）、打卡出片、跨城赏花、花经济带动感知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H1：赏花目的地（公园/乡村）、花期消费（门票/餐饮/文创）显著影响花经济带动感知（待验证）；H2：不同人群（年龄/收入/城市等级）在上述关系中存在调节作用（待验证）。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🔶"春日经济/赏花经济"（媒体+文旅数据需核验）；✅乡村旅游与"花经济"（文旅部数据🔶）；✅文旅消费复苏（已核验）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赏花景区现场+OTA渠道；季节性强、取材容易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🔶"春日经济/赏花经济"（媒体+文旅数据需核验）；✅乡村旅游与"花经济"（文旅部数据🔶）；✅文旅消费复苏（已核验）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