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504. “熊猫顶流，流量变现”——大熊猫IP（花花、福宝类）催生的文旅消费研究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研究对象：熊猫主题园/动物园游客、熊猫IP周边消费者、短视频追星族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核心问题/变量：观看/打卡动机、为熊猫IP的单次消费结构（门票、周边、餐饮）、异地“追猫”旅行、IP衍生品购买、对园区流量带动的感知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H1：观看/打卡动机、为熊猫IP的单次消费结构（门票显著影响对园区流量带动的感知（待验证）；H2：不同人群（年龄/收入/城市等级）在上述关系中存在调节作用（待验证）。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🔶熊猫IP客流与消费数据（基地官方、媒体报道须核验）；✅熊猫保护与文旅融合政策（国家林草局、文旅部）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熊猫基地/动物园渠道问卷+周边消费分析；区别于112（汉服）及一般主题乐园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🔶熊猫IP客流与消费数据（基地官方、媒体报道须核验）；✅熊猫保护与文旅融合政策（国家林草局、文旅部）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