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544. “茶园研学，采一篓春天”——茶园采茶体验、茶旅研学消费研究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建议地区：农村（可按省/市细化抽样框）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研究对象：参加茶园采茶/制茶体验的游客与亲子家庭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核心问题/变量：茶园体验动机（亲子/养生/文化）、行程消费结构、制茶DIY参与、茶旅产品付费意愿、复游与口碑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H1：茶园体验动机（亲子/养生/文化）、行程消费结构显著影响复游与口碑（待验证）；H2：不同人群（年龄/收入/城市等级）在上述关系中存在调节作用（待验证）。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🔶茶旅融合案例报道（文旅媒体须下载核验）；✅茶产业高质量发展政策（农业农村部）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茶产区渠道问卷+茶企访谈；区别于78（研学旅行）聚焦茶主题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🔶茶旅融合案例报道（文旅媒体须下载核验）；✅茶产业高质量发展政策（农业农村部）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