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545. “钢厂老厂区，住进工业记忆”——工业遗产改造酒店、民宿消费研究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研究对象：入住工业遗产改造酒店/民宿的游客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核心问题/变量：工业遗产酒店选择动机（怀旧/打卡/独特）、改造氛围体验、价格接受度、与标准化酒店对比、周边工业游联动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H1：工业遗产酒店选择动机（怀旧/打卡/独特）、改造氛围体验显著影响周边工业游联动（待验证）；H2：不同人群（年龄/收入/城市等级）在上述关系中存在调节作用（待验证）。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🔶工业遗产酒店案例报道（文旅媒体须下载核验）；✅工业遗产保护利用政策（工信部）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改造酒店渠道问卷+运营方访谈；区别于135（文创园）聚焦住宿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🔶工业遗产酒店案例报道（文旅媒体须下载核验）；✅工业遗产保护利用政策（工信部）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