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546. “赶海拾贝，海边烟火”——沿海赶海体验旅游消费研究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研究对象：参与赶海体验（亲子/年轻人）的游客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核心问题/变量：赶海动机、收费项目（赶海门票/工具/讲解）接受度、生态保护认知、安全体验、当地渔村经济带动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赶海动机、收费项目（赶海门票/工具/讲解）接受度（当地渔村经济带动）之间存在可检验的关系，且受群体差异（年龄/收入/地区/身份）调节（待验证）；H2：赶海动机、收费项目（赶海门票/工具/讲解）接受度是影响当地渔村经济带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🔶赶海旅游热潮报道（媒体须下载核验）；✅滨海旅游与海洋经济政策（文旅部、海洋局）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海滨目的地问卷+经营者访谈；区别于73（冰雪）等主题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🔶赶海旅游热潮报道（媒体须下载核验）；✅滨海旅游与海洋经济政策（文旅部、海洋局）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