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548. “观光专列，一路看风景”——旅游观光列车、主题火车消费研究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研究对象：乘坐观光专列（森林小火车、旅游列车）的游客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核心问题/变量：观光专列体验动机、票价接受度、车厢服务（观景/餐饮）评价、与自驾对比、复乘意愿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H1：观光专列体验动机、票价接受度显著影响复乘意愿（待验证）；H2：不同人群（年龄/收入/城市等级）在上述关系中存在调节作用（待验证）。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🔶旅游专列开行报道（国铁集团、媒体须下载核验）；✅交旅融合政策（文旅部、国铁）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铁路旅游渠道问卷+运营方访谈；区别于521（银发专列）聚焦大众观光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🔶旅游专列开行报道（国铁集团、媒体须下载核验）；✅交旅融合政策（文旅部、国铁）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