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549. “沙漠星空，越野穿越”——沙漠旅游、沙漠越野徒步消费研究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研究对象：参与沙漠旅游/沙漠越野的游客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核心问题/变量：沙漠游动机（星空/越野/摄影）、消费结构（越野车/骆驼/露营）、安全与环保认知、小众目的地选择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沙漠游动机（星空/越野/摄影）、消费结构（越野车/骆驼/露营）（小众目的地选择）之间存在可检验的关系，且受群体差异（年龄/收入/地区/身份）调节（待验证）；H2：沙漠游动机（星空/越野/摄影）、消费结构（越野车/骆驼/露营）是影响小众目的地选择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🔶沙漠旅游发展报道（文旅媒体须下载核验）；✅西部旅游与生态旅游政策（文旅部）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沙漠目的地问卷+旅行社访谈；区别于517（星空民宿）聚焦沙漠场景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🔶沙漠旅游发展报道（文旅媒体须下载核验）；✅西部旅游与生态旅游政策（文旅部）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