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550. “古城夜宿，穿越千年”——古城夜游住宿与夜间文旅消费研究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研究对象：在古城古镇（丽江、平遥类）夜宿游玩的游客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核心问题/变量：古城夜游项目（灯光/演出/夜市）体验、住宿选择偏好、夜间消费结构、商业化与原生性平衡感知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H1：古城夜游项目（灯光/演出/夜市）体验、住宿选择偏好显著影响商业化与原生性平衡感知（待验证）；H2：不同人群（年龄/收入/城市等级）在上述关系中存在调节作用（待验证）。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🔶古城夜游数据与案例（文旅媒体须下载核验）；✅夜间文旅消费政策（文旅部）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古城景区问卷+民宿商户访谈；区别于391（城市夜消费）聚焦古城场景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🔶古城夜游数据与案例（文旅媒体须下载核验）；✅夜间文旅消费政策（文旅部）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