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619. “户外婚礼、目的地婚礼，婚旅一体”——目的地婚礼（海岛、雪山、古镇）消费研究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研究对象：举办或考虑目的地婚礼的新人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核心问题/变量：目的地婚礼选择动机（仪式感/避俗/旅游）、场地与服务消费、亲友差旅成本、与本地婚礼对比、满意度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H1：目的地婚礼选择动机（仪式感/避俗/旅游）、场地与服务消费显著影响满意度（待验证）；H2：不同人群（年龄/收入/城市等级）在上述关系中存在调节作用（待验证）。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🔶目的地婚礼市场报道（婚庆媒体须下载核验）；✅文旅融合政策（文旅部）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婚庆机构渠道+新婚人群问卷；获奖黑名单核对：近三年无目的地婚礼获奖题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🔶目的地婚礼市场报道（婚庆媒体须下载核验）；✅文旅融合政策（文旅部）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