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633. “非遗研学，文化传薪”——非遗主题研学旅行消费研究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研究对象：参与非遗研学（漆扇/扎染/剪纸类体验）的亲子家庭与学生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核心问题/变量：非遗研学选择动机、体验课程消费、传承人故事吸引力、文化认同收获、复购与口碑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H1：非遗研学选择动机、体验课程消费显著影响复购与口碑（待验证）；H2：不同人群（年龄/收入/城市等级）在上述关系中存在调节作用（待验证）。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🔶非遗研学产品报道（文旅媒体须下载核验）；✅非遗保护与研学政策（文旅部、教育部）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非遗工坊/旅企渠道问卷；获奖黑名单核对：近三年无非遗研学获奖题（区别于25非遗文创购买）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🔶非遗研学产品报道（文旅媒体须下载核验）；✅非遗保护与研学政策（文旅部、教育部）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