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651. “古装体验馆，穿越一日”——古装、汉服体验馆消费研究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研究对象：在古装体验馆/汉服馆租衣拍照的游客与青年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核心问题/变量：体验动机（出片/沉浸/亲子）、套餐价格与时长、妆造师傅技术、场景复原度、与旅拍对比、复购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H1：体验动机（出片/沉浸/亲子）、套餐价格与时长显著影响复购（待验证）；H2：不同人群（年龄/收入/城市等级）在上述关系中存在调节作用（待验证）。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🔶汉服体验馆业态报道（文旅媒体须下载核验）；✅汉服与文旅融合政策（文旅部）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体验馆实地问卷+店主访谈；获奖黑名单核对：近三年无古装体验馆获奖题（区别于112汉服旅拍）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🔶汉服体验馆业态报道（文旅媒体须下载核验）；✅汉服与文旅融合政策（文旅部）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