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716. “夜游博物馆，博物馆奇妙夜”——博物馆夜场开放与夜游消费研究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研究对象：参加过博物馆/科技馆夜场活动的游客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核心问题/变量：夜场参与动机（新奇/错峰/亲子）、夜游内容偏好（灯光/讲解/演出）、加价门票接受、与日场对比、复游意愿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场参与动机（新奇/错峰/亲子）、夜游内容偏好（灯光/讲解/演出）（复游意愿）之间存在可检验的关系，且受群体差异（年龄/收入/地区/身份）调节（待验证）；H2：夜场参与动机（新奇/错峰/亲子）、夜游内容偏好（灯光/讲解/演出）是影响复游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🔶博物馆夜游试点报道（文旅媒体须下载核验）；✅博物馆夜间开放政策（国家文物局）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博物馆渠道问卷+馆方访谈；获奖黑名单核对：近三年无博物馆夜场获奖题（区别于109博物馆泛题）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🔶博物馆夜游试点报道（文旅媒体须下载核验）；✅博物馆夜间开放政策（国家文物局）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