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073. “冰雪之约，热雪沸腾”——冰雪旅游消费动机与目的地选择研究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研究对象：近一年参与过冰雪旅游/冰雪运动的游客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核心问题/变量：参与动机、目的地选择、消费支出（交通/住宿/门票/装备）、重游意愿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H1：参与动机、目的地选择显著影响重游意愿（待验证）；H2：不同人群（年龄/收入/城市等级）在上述关系中存在调节作用（待验证）。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✅中国旅游研究院《中国冰雪旅游发展报告(2026)》：2025—2026冬季冰雪旅游休闲人数3.6亿人次、收入有望达4500亿元；✅2025—2026冰雪季全国居民冰雪运动参与人数3.08亿人、参与率21.75%、消费规模约2050亿元（+9.3%）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北方冬季冰雪场馆+线上问卷；契合冰雪季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✅中国旅游研究院《中国冰雪旅游发展报告(2026)》：2025—2026冬季冰雪旅游休闲人数3.6亿人次、收入有望达4500亿元；✅2025—2026冰雪季全国居民冰雪运动参与人数3.08亿人、参与率21.75%、消费规模约2050亿元（+9.3%）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