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759. “非遗进景区，活态传承”——非遗项目（表演、体验）进景区消费研究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研究对象：在景区体验非遗项目（皮影/刺绣/手工）的游客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核心问题/变量：非遗体验付费意愿、项目互动性、传承人讲述吸引力、文创衍生购买、文化获得感、对景区差异化影响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H1：非遗体验付费意愿、项目互动性显著影响对景区差异化影响（待验证）；H2：不同人群（年龄/收入/城市等级）在上述关系中存在调节作用（待验证）。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🔶非遗进景区案例报道（文旅媒体须下载核验）；✅非遗与旅游融合发展政策（文旅部）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景区渠道问卷+非遗传承人访谈；获奖黑名单核对：近三年无景区非遗体验获奖题（区别于633非遗研学）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🔶非遗进景区案例报道（文旅媒体须下载核验）；✅非遗与旅游融合发展政策（文旅部）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