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076. “为一场演唱会赴一座城”——演唱会跨城观演消费行为与文旅带动研究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研究对象：近一年看过演唱会（含跨城）的观众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核心问题/变量：观演动机、跨城支出（交通/住宿/餐饮）、消费乘数、满意度、重游意愿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H1：观演动机、跨城支出（交通/住宿/餐饮）显著影响重游意愿（待验证）；H2：不同人群（年龄/收入/城市等级）在上述关系中存在调节作用（待验证）。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✅2026上半年5000人以上大型营业性演出0.13万场（+13.06%）、票房171.11亿元（+17.70%）、观众2328.28万人次（+20.37%）（中演协简报/央广网）；🔶跨城消费乘数效应、歌迷专列上百列（行业报告）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演出票务社群/歌迷会渠道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✅2026上半年5000人以上大型营业性演出0.13万场（+13.06%）、票房171.11亿元（+17.70%）、观众2328.28万人次（+20.37%）（中演协简报/央广网）；🔶跨城消费乘数效应、歌迷专列上百列（行业报告）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