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077. “演出经济，下沉爆发”——二三线城市音乐节、演唱会市场消费需求研究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研究对象：二三线城市音乐节/演唱会观众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核心问题/变量：本地观演需求、票价接受度、参与频率、本地消费带动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H1：本地观演需求、票价接受度显著影响本地消费带动（待验证）；H2：不同人群（年龄/收入/城市等级）在上述关系中存在调节作用（待验证）。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🔶演唱会市场K型分化、下沉市场拼盘演出占比45.6%（行业报告聚合中演协数据）；✅2026上半年全国演出场次32.43万场、票房304.08亿元（+9.41%）、观众9881.18万人次（中演协）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二三线城市演出场馆/音乐节现场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🔶演唱会市场K型分化、下沉市场拼盘演出占比45.6%（行业报告聚合中演协数据）；✅2026上半年全国演出场次32.43万场、票房304.08亿元（+9.41%）、观众9881.18万人次（中演协）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