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847. “反向旅游，小城出圈”——反向旅游（小城、非热门目的地）消费研究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研究对象：选择反向旅游（避开热门景区）的游客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核心问题/变量：反向旅游动机（人少/性价比/松弛感）、小城选择（资源排名/影视带火）、消费结构（住宿/美食）、体验满意度、再游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H1：反向旅游动机（人少/性价比/松弛感）、小城选择（资源排名/影视带火）显著影响再游（待验证）；H2：不同人群（年龄/收入/城市等级）在上述关系中存在调节作用（待验证）。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🔶反向旅游现象报道（文旅媒体须下载核验）；✅县域旅游振兴政策（文旅部）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小城文旅局渠道+游客问卷；获奖黑名单核对：近三年无反向旅游获奖题（区别于547雪场民宿等具体地）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🔶反向旅游现象报道（文旅媒体须下载核验）；✅县域旅游振兴政策（文旅部）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