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855. “博物馆热，一票难求”——博物馆预约制（抢票、黄牛）与参观消费研究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研究对象：预约博物馆（含抢票）的参观者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核心问题/变量：预约难度（秒空）、黄牛代抢（预约码交易）、预约制度体验、博物馆热动机（研学/打卡）、特展付费、满意度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约难度（秒空）、黄牛代抢（预约码交易）（满意度）之间存在可检验的关系，且受群体差异（年龄/收入/地区/身份）调节（待验证）；H2：预约难度（秒空）、黄牛代抢（预约码交易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🔶博物馆预约与黄牛治理报道（国家文物局须下载核验）；✅博物馆免费开放政策（中央）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博物馆渠道+参观者问卷；获奖黑名单核对：近三年无博物馆预约获奖题（区别于109/716博物馆泛题）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🔶博物馆预约与黄牛治理报道（国家文物局须下载核验）；✅博物馆免费开放政策（中央）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