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902. “数字文博，云上逛馆”——数字文博（云展览、数字藏品）参与研究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研究对象：体验线上云展览/数字文博内容的公众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核心问题/变量：云展参观频次、线上vs线下体验差异、数字藏品/文物数字化消费、青少年科普、博物馆数字化投入感知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H1：云展参观频次、线上vs线下体验差异显著影响博物馆数字化投入感知（待验证）；H2：不同人群（年龄/收入/城市等级）在上述关系中存在调节作用（待验证）。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🔶博物馆数字化建设政策（国家文物局）；🔶云展览平台数据（须下载核验）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博物馆线上渠道+用户问卷；获奖黑名单核对：近三年无数字文博获奖题（区别于289数字文创泛题）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🔶博物馆数字化建设政策（国家文物局）；🔶云展览平台数据（须下载核验）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