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964. “citywalk夜游线，光影城市”——城市夜游线（灯光、夜航）消费研究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建议地区：县域（可按省/市细化抽样框）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研究对象：参加城市夜游线路（夜航/灯光秀/夜游船）的游客与市民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核心问题/变量：夜游消费场景（亲子/情侣/游客）、夜游船票价与项目、灯光秀出圈（城市IP）、夜间出行安全、复游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H1：夜游消费场景（亲子/情侣/游客）、夜游船票价与项目显著影响复游（待验证）；H2：不同人群（年龄/收入/城市等级）在上述关系中存在调节作用（待验证）。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🔶夜间文旅消费政策（文旅部）；🔶夜游市场数据（须下载核验）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夜游渠道问卷+运营方访谈；获奖黑名单核对：近三年无城市夜游线获奖题（区别于88县域夜经济、880夜游博物馆？）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🔶夜间文旅消费政策（文旅部）；🔶夜游市场数据（须下载核验）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