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976. “文化馆夜校，青年学艺”——文化馆（夜校、公益课）青年参与研究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研究对象：报名文化馆（公益课/夜校）课程的青年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核心问题/变量：文化馆课程供给（书法/舞蹈/非遗）、抢课火爆（秒空）、公益vs市场化、公共文化服务获得感、复报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化馆课程供给（书法/舞蹈/非遗）、抢课火爆（秒空）（复报）之间存在可检验的关系，且受群体差异（年龄/收入/地区/身份）调节（待验证）；H2：文化馆课程供给（书法/舞蹈/非遗）、抢课火爆（秒空）是影响复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🔶文化馆免费开放与公共文化服务政策（文旅部）；🔶文化馆夜校现象报道（须下载核验）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文化馆渠道+学员问卷；获奖黑名单核对：近三年无文化馆夜校获奖题（区别于725青年夜校泛题，聚焦公共馆所）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🔶文化馆免费开放与公共文化服务政策（文旅部）；🔶文化馆夜校现象报道（须下载核验）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