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1019. “反内卷风暴，加班文化退潮”——反内卷倡议下企业工时与员工心态研究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研究对象：经历企业反内卷改革（取消大小周、强制按时下班）的职场人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核心问题/变量：反内卷政策（工时/考勤）感知、工作产出与效率变化、收入影响、摸鱼vs实干、再就业选择（避卷）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反内卷政策（工时/考勤）感知、工作产出与效率变化（再就业选择（避卷））之间存在可检验的关系，且受群体差异（年龄/收入/地区/身份）调节（待验证）；H2：反内卷政策（工时/考勤）感知、工作产出与效率变化是影响再就业选择（避卷）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🔶反内卷与就业市场报道（央媒须下载核验）；✅劳动工时与加班规定（人社部、最高法）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职场社群问卷+HR访谈；获奖黑名单核对：近三年无反内卷获奖题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🔶反内卷与就业市场报道（央媒须下载核验）；✅劳动工时与加班规定（人社部、最高法）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