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1020. “工作生活平衡，WLB经济学”——青年求职中工作生活平衡（WLB）权重研究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研究对象：将WLB（工作生活平衡）作为求职硬指标的青年求职者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核心问题/变量：WLB求职权重（vs薪资/晋升）、企业宣传与实况落差、弹性工时落地、离职原因（过劳）、WLB城市选择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WLB求职权重（vs薪资/晋升）、企业宣传与实况落差（WLB城市选择）之间存在可检验的关系，且受群体差异（年龄/收入/地区/身份）调节（待验证）；H2：WLB求职权重（vs薪资/晋升）、企业宣传与实况落差是影响WLB城市选择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🔶青年就业择业调查（人社部、媒体须下载核验）；✅促进高质量充分就业政策（中共中央、国务院）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应届/跳槽问卷+雇主访谈；获奖黑名单核对：近三年无WLB获奖题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🔶青年就业择业调查（人社部、媒体须下载核验）；✅促进高质量充分就业政策（中共中央、国务院）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