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1033. “下班断联，工作消息边界”——下班后工作消息（隐形加班）边界研究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研究对象：下班后仍需处理工作消息（群聊/钉钉/微信）的打工人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核心问题/变量：下班消息频率与时段、回复压力（秒回文化）、隐形加班（未计入工时）、断联权益认知（离线权）、企业边界文化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下班消息频率与时段、回复压力（秒回文化）（企业边界文化）之间存在可检验的关系，且受群体差异（年龄/收入/地区/身份）调节（待验证）；H2：下班消息频率与时段、回复压力（秒回文化）是影响企业边界文化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🔶离线休息权讨论与地方试点（人社部门报道须下载核验）；✅劳动法与加班规定（人社部）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职场问卷+劳动监察/HR访谈；获奖黑名单核对：近三年无下班断联获奖题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🔶离线休息权讨论与地方试点（人社部门报道须下载核验）；✅劳动法与加班规定（人社部）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