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107. “数字游民，旅居办公”——数字游民乡村、景区旅居办公生活方式参与意愿研究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研究对象：18—40岁可远程办公的青年（含自由职业/自媒体）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核心问题/变量：参与意愿、目的地偏好（大理/安吉等）、社区配套需求、月支出预算、返乡/旅居时长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意愿、目的地偏好（大理/安吉等）（返乡/旅居时长）之间存在可检验的关系，且受群体差异（年龄/收入/地区/身份）调节（待验证）；H2：参与意愿、目的地偏好（大理/安吉等）是影响返乡/旅居时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🔶大理等数字游民聚集地公开报道（媒体线索，具体人数需核实）；🔶全球数字游民规模增长（MBO Partners等国际报告，🔶需下载原文）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远程办公社群/数字游民社区渠道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🔶大理等数字游民聚集地公开报道（媒体线索，具体人数需核实）；🔶全球数字游民规模增长（MBO Partners等国际报告，🔶需下载原文）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