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1080. “职场情绪假，请一天假缓一缓”——员工情绪假（心理假、情绪假）制度研究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研究对象：企业试行/员工期望情绪假的打工人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核心问题/变量：情绪假需求（压力/倦怠）、企业制度（年中情绪假/无理由假）、请假日志（不敢请）、心理健康支持、员工幸福感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绪假需求（压力/倦怠）、企业制度（年中情绪假/无理由假）（员工幸福感）之间存在可检验的关系，且受群体差异（年龄/收入/地区/身份）调节（待验证）；H2：情绪假需求（压力/倦怠）、企业制度（年中情绪假/无理由假）是影响员工幸福感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🔶心理健康促进与职业健康政策（卫健委、人社部）；🔶情绪假企业案例（媒体报道须下载核验）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职场问卷+HR访谈；获奖黑名单核对：近三年无情绪假获奖题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🔶心理健康促进与职业健康政策（卫健委、人社部）；🔶情绪假企业案例（媒体报道须下载核验）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