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1082. “简历放大镜，背调防翻车”——员工背景调查（背调）公平性研究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确定行业：13_职场与新就业（选择理由：贴合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研究对象：经历入职背调（学历/经历/竞业）的求职者与企业HR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核心问题/变量：背调内容与范围、信息采集授权（隐私）、背调公司服务、误判与申诉、竞业限制感知、公平性评价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背调内容与范围、信息采集授权（隐私）（公平性评价）之间存在可检验的关系，且受群体差异（年龄/收入/地区/身份）调节（待验证）；H2：背调内容与范围、信息采集授权（隐私）是影响公平性评价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🔶个人信息保护与招聘规范（网信办、人社部）；🔶背调行业数据（须下载核验）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求职者问卷+背调机构访谈；获奖黑名单核对：近三年无背调获奖题（区别于907反向背调？907是求职者查企业，本题聚焦员工被调）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🔶个人信息保护与招聘规范（网信办、人社部）；🔶背调行业数据（须下载核验）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