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1179. “副业刚需，下班后第二收入”——年轻人副业（下班后）经营研究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研究对象：开展副业（自媒体/摆摊/接单）的上班族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核心问题/变量：副业动机（增收/安全感/兴趣）、副业类型（写作/剪辑/手工/代购）、时间管理（熬夜副业）、收入与投入、主业冲突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副业动机（增收/安全感/兴趣）、副业类型（写作/剪辑/手工/代购）（主业冲突）之间存在可检验的关系，且受群体差异（年龄/收入/地区/身份）调节（待验证）；H2：副业动机（增收/安全感/兴趣）、副业类型（写作/剪辑/手工/代购）是影响主业冲突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🔶灵活就业与新就业形态政策（人社部）；🔶副业经济数据（须下载核验）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副业社群问卷+平台数据；获奖黑名单核对：近三年无副业经营获奖题（区别于747摆摊参与、513自由职业，聚焦职场人副业化）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🔶灵活就业与新就业形态政策（人社部）；🔶副业经济数据（须下载核验）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