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1180. “考编不如考证，技能人才蓝领翻身”——技能人才（技工）职业与收入研究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研究对象：技术工人/技能人才（电工/焊工/数控）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核心问题/变量：技能人才缺口与薪资（技工荒）、蓝领高薪（高级技师）、职业认同、技能等级证书、职业教育路径、社会地位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技能人才缺口与薪资（技工荒）、蓝领高薪（高级技师）（社会地位）之间存在可检验的关系，且受群体差异（年龄/收入/地区/身份）调节（待验证）；H2：技能人才缺口与薪资（技工荒）、蓝领高薪（高级技师）是影响社会地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🔶技能人才队伍建设与技工教育政策（人社部、教育部）；🔶技能人才缺口数据（人社部须下载核验）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技工院校/企业问卷+人社部门访谈；获奖黑名单核对：近三年无技能人才获奖题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🔶技能人才队伍建设与技工教育政策（人社部、教育部）；🔶技能人才缺口数据（人社部须下载核验）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