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1181. “00后整顿职场，还是职场整顿00后”——00后职场表现（代际碰撞）研究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研究对象：00后职场新人与其管理者/前辈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核心问题/变量：00后职场特征（不加班/直接表达）、代际冲突（管理模式）、00后离职率、企业适应（弹性管理）、双向磨合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00后职场特征（不加班/直接表达）、代际冲突（管理模式）（双向磨合）之间存在可检验的关系，且受群体差异（年龄/收入/地区/身份）调节（待验证）；H2：00后职场特征（不加班/直接表达）、代际冲突（管理模式）是影响双向磨合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🔶青年就业与劳动权益政策（人社部）；🔶00后职场调查（招聘平台报告须下载核验）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00后员工问卷+HR访谈；获奖黑名单核对：近三年无00后职场获奖题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🔶青年就业与劳动权益政策（人社部）；🔶00后职场调查（招聘平台报告须下载核验）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