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1182. “远程医疗保险，灵活就业者保障”——灵活就业者职业伤害保障（试点扩面）研究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研究对象：纳入职业伤害保障试点（外卖/网约）的灵活就业者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核心问题/变量：新业态职业伤害保障（试点省份）、工伤认定、参保缴费（平台代缴）、理赔体验、对平台归属感、保障获得感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业态职业伤害保障（试点省份）、工伤认定（保障获得感）之间存在可检验的关系，且受群体差异（年龄/收入/地区/身份）调节（待验证）；H2：新业态职业伤害保障（试点省份）、工伤认定是影响保障获得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🔶新就业形态职业伤害保障试点政策（人社部）；🔶试点数据（须下载核验）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骑手/司机问卷+试点省份人社部门访谈；获奖黑名单核对：近三年无职业伤害保障获奖题（区别于1084社保泛题，聚焦工伤专项）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🔶新就业形态职业伤害保障试点政策（人社部）；🔶试点数据（须下载核验）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