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1183. “AI时代白领，人机协作日常”——AI工具职场渗透（人机协作）员工体验研究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研究对象：日常使用AI工具（办公/设计/编程）的白领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核心问题/变量：AI工具使用率（ChatGPT/豆包/Coze）、提效感知（写文档/做表）、技能焦虑（被替代）、AI使用规范（企业政策）、人机分工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工具使用率（ChatGPT/豆包/Coze）、提效感知（写文档/做表）（人机分工）之间存在可检验的关系，且受群体差异（年龄/收入/地区/身份）调节（待验证）；H2：AI工具使用率（ChatGPT/豆包/Coze）、提效感知（写文档/做表）是影响人机分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🔶AI赋能与就业结构政策（人社部、网信办）；🔶AI办公工具数据（须下载核验）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白领问卷+企业IT访谈；获奖黑名单核对：近三年无AI职场协作获奖题（区别于211/306 AI智能体，聚焦员工日常体验）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🔶AI赋能与就业结构政策（人社部、网信办）；🔶AI办公工具数据（须下载核验）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