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1236. “班味，职场人的气质”——“班味”（职场疲惫感）现象与青年应对研究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研究对象：自嘲“班味”（疲惫/涣散）的职场青年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核心问题/变量：班味内涵（工作消耗感）、班味浓度感知、去班味方式（下班运动/换穿搭）、社交媒体自嘲、职业倦怠关联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班味内涵（工作消耗感）、班味浓度感知（职业倦怠关联）之间存在可检验的关系，且受群体差异（年龄/收入/地区/身份）调节（待验证）；H2：班味内涵（工作消耗感）、班味浓度感知是影响职业倦怠关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🔶职业健康与心理健康政策（卫健委）；🔶班味话题数据（社交平台须下载核验）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职场青年问卷+社交媒体内容分析；获奖黑名单核对：近三年无班味获奖题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🔶职业健康与心理健康政策（卫健委）；🔶班味话题数据（社交平台须下载核验）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