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1237. “斜杠青年过时了，一人公司兴起”——一人公司（AI工具单干）模式研究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研究对象：一人公司/超级个体（AI工具赋能）的自由职业者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核心问题/变量：一人公司模式（AI写文/设计/客服）、超级个体收入、工具月度订阅、时间自由与焦虑、客户获客、传统就业替代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一人公司模式（AI写文/设计/客服）、超级个体收入（传统就业替代）之间存在可检验的关系，且受群体差异（年龄/收入/地区/身份）调节（待验证）；H2：一人公司模式（AI写文/设计/客服）、超级个体收入是影响传统就业替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🔶个体经济与AI就业政策（人社部、市场监管总局）；🔶超级个体数据（须下载核验）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自由职业社群问卷+平台访谈；获奖黑名单核对：近三年无一人公司获奖题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🔶个体经济与AI就业政策（人社部、市场监管总局）；🔶超级个体数据（须下载核验）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