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1238. “稳定币工资，web3就业”——Web3、数字游民远程就业（跨境结算）研究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研究对象：赚取加密货币/USDT工资的远程工作者与Web3从业者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核心问题/变量：Web3远程就业（海外发包）、USDT工资结算、稳定币使用、汇率与合规风险、国内外待遇差异、税务认知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Web3远程就业（海外发包）、USDT工资结算（税务认知）之间存在可检验的关系，且受群体差异（年龄/收入/地区/身份）调节（待验证）；H2：Web3远程就业（海外发包）、USDT工资结算是影响税务认知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🔶虚拟货币交易监管（央行、金融监管总局）；🔶Web3就业数据（行业报告须下载核验）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Web3从业社群问卷+行业平台访谈；获奖黑名单核对：近三年无Web3就业获奖题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🔶虚拟货币交易监管（央行、金融监管总局）；🔶Web3就业数据（行业报告须下载核验）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