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149. “安静咖啡馆，办公新场景”——咖啡馆办公、自习（SOHO族）消费行为研究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确定行业：13_职场与新就业（选择理由：贴合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研究对象：常在咖啡馆办公/自习的自由职业者、学生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核心问题/变量：使用频次、时段消费、消费金额、座位舒适度、店家包容度感知、满意度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H1：使用频次、时段消费显著影响满意度（待验证）；H2：不同人群（年龄/收入/城市等级）在上述关系中存在调节作用（待验证）。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✅咖啡市场2025年3549亿元、人均28.57杯（第二批已核验）；🔶"咖啡馆办公"中外媒体讨论（需引原文）；✅共享工位降温背景（羊城晚报）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独立咖啡馆/连锁咖啡门店现场问卷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✅咖啡市场2025年3549亿元、人均28.57杯（第二批已核验）；🔶"咖啡馆办公"中外媒体讨论（需引原文）；✅共享工位降温背景（羊城晚报）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