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187. “老专家返聘，企业请回宝”——企业退休返聘与银发用工制度研究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研究对象：60+退休老人（含已再就业/未就业）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核心问题/变量：再就业意愿、岗位类型偏好（技术/服务/顾问）、收入期望、家庭态度、权益保障认知（工伤/社保）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就业意愿、岗位类型偏好（技术/服务/顾问）（权益保障认知（工伤/社保））之间存在可检验的关系，且受群体差异（年龄/收入/地区/身份）调节（待验证）；H2：再就业意愿、岗位类型偏好（技术/服务/顾问）是影响权益保障认知（工伤/社保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民政部等19部门《关于支持老年人社会参与推动实现老有所为的指导意见》；✅人社部等五部门《超龄劳动者基本权益保障暂行规定》2026年7月1日施行（首部专门规章）；✅上海28部门2026年3月实施方案；✅60+人口3.2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社区老年活动中心/老年人才市场渠道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民政部等19部门《关于支持老年人社会参与推动实现老有所为的指导意见》；✅人社部等五部门《超龄劳动者基本权益保障暂行规定》2026年7月1日施行（首部专门规章）；✅上海28部门2026年3月实施方案；✅60+人口3.2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