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281. “通勤两小时，路上消费什么”——通勤时间与通勤日常消费（咖啡、早餐、充电）研究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研究对象：通勤时长30分钟以上的城市上班族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核心问题/变量：通勤时长、通勤方式、路上消费（咖啡/早餐/耳机/打车）、通勤幸福感、消费结构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H1：通勤时长、通勤方式显著影响消费结构（待验证）；H2：不同人群（年龄/收入/城市等级）在上述关系中存在调节作用（待验证）。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🔶通勤经济（城市通勤报告媒体数据需核验）；✅咖啡市场2025年3549亿元（已核验）；✅即时零售1万亿（第三批已核验）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地铁站/写字楼周边现场+线上问卷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🔶通勤经济（城市通勤报告媒体数据需核验）；✅咖啡市场2025年3549亿元（已核验）；✅即时零售1万亿（第三批已核验）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