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307. “AI 律师、会计，专业服务数字化”——AI在专业服务（法律、财务、翻译）中的应用接受度研究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研究对象：小微企业主、自由职业者、学生（用过AI写合同/记账/翻译）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核心问题/变量：使用场景、效率提升、专业准确性信任、责任归属认知（出错算谁的）、替代担忧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H1：使用场景、效率提升（替代担忧）之间存在可检验的关系，且受群体差异（年龄/收入/地区/身份）调节（待验证）；H2：使用场景、效率提升是影响替代担忧的关键因素（待验证）。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🔶AI专业服务应用（行业报告需核验）；✅AI渗透重点行业超80%（国家发改委，第九轮证据）；✅生成式AI用户5.15亿（CNNIC）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创业者社群/办公室人群渠道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🔶AI专业服务应用（行业报告需核验）；✅AI渗透重点行业超80%（国家发改委，第九轮证据）；✅生成式AI用户5.15亿（CNNIC）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