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310. “AI 面试官，求职初印象”——AI招聘筛选、AI面试官的求职者体验研究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研究对象：经历过AI简历筛选或AI视频面试的求职者（应届生/社招）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核心问题/变量：AI面试经历、公平感知（算法偏见）、紧张度与表达影响、对企业印象、改进建议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面试经历、公平感知（算法偏见）（改进建议）之间存在可检验的关系，且受群体差异（年龄/收入/地区/身份）调节（待验证）；H2：AI面试经历、公平感知（算法偏见）是影响改进建议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🔶AI招聘工具渗透（人力资源行业报告需核验）；✅招聘数字化趋势（前程无忧《2026城市服务业人才市场洞察》第八轮证据）；✅算法公平性讨论（媒体）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应届生求职社群渠道；贴近评委（高校就业）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🔶AI招聘工具渗透（人力资源行业报告需核验）；✅招聘数字化趋势（前程无忧《2026城市服务业人才市场洞察》第八轮证据）；✅算法公平性讨论（媒体）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